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3.png" ContentType="image/png"/>
  <Override PartName="/word/media/rId120.png" ContentType="image/png"/>
  <Override PartName="/word/media/rId124.png" ContentType="image/png"/>
  <Override PartName="/word/media/rId128.png" ContentType="image/png"/>
  <Override PartName="/word/media/rId138.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4,509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2025-05-28 16:49:48.420367</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3"/>
    <w:bookmarkStart w:id="24" w:name="background"/>
    <w:p>
      <w:pPr>
        <w:pStyle w:val="Heading1"/>
      </w:pPr>
      <w:r>
        <w:t xml:space="preserve">Background</w:t>
      </w:r>
    </w:p>
    <w:p>
      <w:pPr>
        <w:pStyle w:val="FirstParagraph"/>
      </w:pPr>
      <w:r>
        <w:t xml:space="preserve">Randomized controlled trials (RCTs) are the go-to methodology for establishing the efficacy and safety of medical products. Directed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similar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is not well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involving an assessment of whether critical eligibility criteria (e.g., biomarker status) including prognostic factors (e.g., ECOG performance score) are measurable, and whether preliminary study size based on a rough estimation of the number of patients observed in the data with the combination of treatment regimen and line of treatment is reasonable for shortlisting the trial.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Naturally, the majority of shortliested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One important aspect when emulating oncology trials is the choice and estimation of the appropriate estimand of interest.</w:t>
      </w:r>
      <w:r>
        <w:rPr>
          <w:vertAlign w:val="superscript"/>
        </w:rPr>
        <w:t xml:space="preserve">26</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crossover.</w:t>
      </w:r>
      <w:r>
        <w:rPr>
          <w:vertAlign w:val="superscript"/>
        </w:rPr>
        <w:t xml:space="preserve">27</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estimand differences.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28</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patients discontinue or cross-over, which could dilute effect estimates.</w:t>
      </w:r>
    </w:p>
    <w:p>
      <w:pPr>
        <w:pStyle w:val="BodyText"/>
      </w:pPr>
      <w:r>
        <w:t xml:space="preserve">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29</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9, 31</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34, 35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37</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36</w:t>
      </w:r>
      <w:r>
        <w:t xml:space="preserve"> </w:t>
      </w:r>
      <w:r>
        <w:t xml:space="preserve">Hence, methodologies which retain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w:t>
      </w:r>
    </w:p>
    <w:bookmarkEnd w:id="33"/>
    <w:bookmarkStart w:id="34"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cannot be made public but we provide a comprehensive and detailed documentation for each function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52–57</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9, 31</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27</w:t>
      </w:r>
      <w:r>
        <w:t xml:space="preserve"> </w:t>
      </w:r>
      <w:r>
        <w:t xml:space="preserve">Although this is also a common challenge in the analysis of RCTs,</w:t>
      </w:r>
      <w:r>
        <w:rPr>
          <w:vertAlign w:val="superscript"/>
        </w:rPr>
        <w:t xml:space="preserve">26</w:t>
      </w:r>
      <w:r>
        <w:t xml:space="preserve"> </w:t>
      </w:r>
      <w:r>
        <w:t xml:space="preserve">treatment practice in routine clinical practice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58</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9"/>
    <w:bookmarkEnd w:id="40"/>
    <w:bookmarkStart w:id="119" w:name="references"/>
    <w:p>
      <w:pPr>
        <w:pStyle w:val="Heading1"/>
      </w:pPr>
      <w:r>
        <w:t xml:space="preserve">References</w:t>
      </w:r>
    </w:p>
    <w:bookmarkStart w:id="118" w:name="refs"/>
    <w:bookmarkStart w:id="42" w:name="ref-RWEFDA"/>
    <w:p>
      <w:pPr>
        <w:pStyle w:val="Bibliography"/>
      </w:pPr>
      <w:r>
        <w:rPr>
          <w:b/>
          <w:bCs/>
        </w:rPr>
        <w:t xml:space="preserve">1</w:t>
      </w:r>
      <w:r>
        <w:t xml:space="preserve">. Framework for FDA’s real-world evidence program (last accessed 11/28/2024) [Internet], 2018Available from:</w:t>
      </w:r>
      <w:r>
        <w:t xml:space="preserve"> </w:t>
      </w:r>
      <w:hyperlink r:id="rId41">
        <w:r>
          <w:rPr>
            <w:rStyle w:val="Hyperlink"/>
          </w:rPr>
          <w:t xml:space="preserve">https://www.fda.gov/media/120060/download?attachment</w:t>
        </w:r>
      </w:hyperlink>
    </w:p>
    <w:bookmarkEnd w:id="42"/>
    <w:bookmarkStart w:id="43"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3"/>
    <w:bookmarkStart w:id="44" w:name="ref-senior2024fresh"/>
    <w:p>
      <w:pPr>
        <w:pStyle w:val="Bibliography"/>
      </w:pPr>
      <w:r>
        <w:rPr>
          <w:b/>
          <w:bCs/>
        </w:rPr>
        <w:t xml:space="preserve">3</w:t>
      </w:r>
      <w:r>
        <w:t xml:space="preserve">. Senior M: Fresh from the biotech pipeline: Record-breaking FDA approvals. Nature Biotechnology, 2024</w:t>
      </w:r>
    </w:p>
    <w:bookmarkEnd w:id="44"/>
    <w:bookmarkStart w:id="46"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5">
        <w:r>
          <w:rPr>
            <w:rStyle w:val="Hyperlink"/>
          </w:rPr>
          <w:t xml:space="preserve">http://dx.doi.org/10.1016/j.annepidem.2022.07.007</w:t>
        </w:r>
      </w:hyperlink>
    </w:p>
    <w:bookmarkEnd w:id="46"/>
    <w:bookmarkStart w:id="47"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7"/>
    <w:bookmarkStart w:id="48"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8"/>
    <w:bookmarkStart w:id="49"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9"/>
    <w:bookmarkStart w:id="50"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50"/>
    <w:bookmarkStart w:id="52" w:name="ref-wang2023emulation"/>
    <w:p>
      <w:pPr>
        <w:pStyle w:val="Bibliography"/>
      </w:pPr>
      <w:r>
        <w:rPr>
          <w:b/>
          <w:bCs/>
        </w:rPr>
        <w:t xml:space="preserve">9</w:t>
      </w:r>
      <w:r>
        <w:t xml:space="preserve">. Wang SV, Schneeweiss S, Franklin JM, et al:</w:t>
      </w:r>
      <w:r>
        <w:t xml:space="preserve"> </w:t>
      </w:r>
      <w:hyperlink r:id="rId51">
        <w:r>
          <w:rPr>
            <w:rStyle w:val="Hyperlink"/>
          </w:rPr>
          <w:t xml:space="preserve">Emulation of randomized clinical trials with nonrandomized database analyses: Results of 32 clinical trials</w:t>
        </w:r>
      </w:hyperlink>
      <w:r>
        <w:t xml:space="preserve">. Jama 329:1376–1385, 2023</w:t>
      </w:r>
    </w:p>
    <w:bookmarkEnd w:id="52"/>
    <w:bookmarkStart w:id="54"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3">
        <w:r>
          <w:rPr>
            <w:rStyle w:val="Hyperlink"/>
          </w:rPr>
          <w:t xml:space="preserve">https://doi.org/10.1136/bmjmed-2023-000709</w:t>
        </w:r>
      </w:hyperlink>
    </w:p>
    <w:bookmarkEnd w:id="54"/>
    <w:bookmarkStart w:id="56"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5">
        <w:r>
          <w:rPr>
            <w:rStyle w:val="Hyperlink"/>
          </w:rPr>
          <w:t xml:space="preserve">https://www.fda.gov/about-fda/oncology-center-excellence/calibrating-real-world-evidence-studies-oncology-against-randomized-trials-encore</w:t>
        </w:r>
      </w:hyperlink>
    </w:p>
    <w:bookmarkEnd w:id="56"/>
    <w:bookmarkStart w:id="57"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7"/>
    <w:bookmarkStart w:id="58"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8"/>
    <w:bookmarkStart w:id="59"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9"/>
    <w:bookmarkStart w:id="60"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60"/>
    <w:bookmarkStart w:id="62"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1">
        <w:r>
          <w:rPr>
            <w:rStyle w:val="Hyperlink"/>
          </w:rPr>
          <w:t xml:space="preserve">https://doi.org/10.1158/1078-0432.CCR-22-0471</w:t>
        </w:r>
      </w:hyperlink>
    </w:p>
    <w:bookmarkEnd w:id="62"/>
    <w:bookmarkStart w:id="63"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3"/>
    <w:bookmarkStart w:id="65"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4">
        <w:r>
          <w:rPr>
            <w:rStyle w:val="Hyperlink"/>
          </w:rPr>
          <w:t xml:space="preserve">https://ascopubs.org/doi/abs/10.1200/JCO.2023.41.16_suppl.e21194</w:t>
        </w:r>
      </w:hyperlink>
    </w:p>
    <w:bookmarkEnd w:id="65"/>
    <w:bookmarkStart w:id="66"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6"/>
    <w:bookmarkStart w:id="67"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7"/>
    <w:bookmarkStart w:id="68"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8"/>
    <w:bookmarkStart w:id="70"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9">
        <w:r>
          <w:rPr>
            <w:rStyle w:val="Hyperlink"/>
          </w:rPr>
          <w:t xml:space="preserve">https://doi.org/10.1016/j.jval.2022.09.001</w:t>
        </w:r>
      </w:hyperlink>
    </w:p>
    <w:bookmarkEnd w:id="70"/>
    <w:bookmarkStart w:id="71"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1"/>
    <w:bookmarkStart w:id="72"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2"/>
    <w:bookmarkStart w:id="74" w:name="ref-hernan2016specifying"/>
    <w:p>
      <w:pPr>
        <w:pStyle w:val="Bibliography"/>
      </w:pPr>
      <w:r>
        <w:rPr>
          <w:b/>
          <w:bCs/>
        </w:rPr>
        <w:t xml:space="preserve">25</w:t>
      </w:r>
      <w:r>
        <w:t xml:space="preserve">. Hernán MA, Sauer BC, Hernández-Dı́az S, et al:</w:t>
      </w:r>
      <w:r>
        <w:t xml:space="preserve"> </w:t>
      </w:r>
      <w:hyperlink r:id="rId73">
        <w:r>
          <w:rPr>
            <w:rStyle w:val="Hyperlink"/>
          </w:rPr>
          <w:t xml:space="preserve">Specifying a target trial prevents immortal time bias and other self-inflicted injuries in observational analyses</w:t>
        </w:r>
      </w:hyperlink>
      <w:r>
        <w:t xml:space="preserve">. Journal of clinical epidemiology 79:70–75, 2016</w:t>
      </w:r>
    </w:p>
    <w:bookmarkEnd w:id="74"/>
    <w:bookmarkStart w:id="76" w:name="ref-rufibach2018"/>
    <w:p>
      <w:pPr>
        <w:pStyle w:val="Bibliography"/>
      </w:pPr>
      <w:r>
        <w:rPr>
          <w:b/>
          <w:bCs/>
        </w:rPr>
        <w:t xml:space="preserve">26</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manitz2022estimands"/>
    <w:p>
      <w:pPr>
        <w:pStyle w:val="Bibliography"/>
      </w:pPr>
      <w:r>
        <w:rPr>
          <w:b/>
          <w:bCs/>
        </w:rPr>
        <w:t xml:space="preserve">27</w:t>
      </w:r>
      <w:r>
        <w:t xml:space="preserve">. Manitz J, Kan-Dobrosky N, Buchner H, et al: Estimands for overall survival in clinical trials with treatment switching in oncology. Pharmaceutical Statistics 21:150–162, 2022</w:t>
      </w:r>
    </w:p>
    <w:bookmarkEnd w:id="77"/>
    <w:bookmarkStart w:id="78" w:name="ref-meyer2020open"/>
    <w:p>
      <w:pPr>
        <w:pStyle w:val="Bibliography"/>
      </w:pPr>
      <w:r>
        <w:rPr>
          <w:b/>
          <w:bCs/>
        </w:rPr>
        <w:t xml:space="preserve">28</w:t>
      </w:r>
      <w:r>
        <w:t xml:space="preserve">. Meyer A-M, Davies J, Taylor M, et al: Open cohorts and ghost-time bias in real world data, in PHARMACOEPIDEMIOLOGY AND DRUG SAFETY. WILEY 111 RIVER ST, HOBOKEN 07030-5774, NJ USA, 2020, pp 426–426</w:t>
      </w:r>
    </w:p>
    <w:bookmarkEnd w:id="78"/>
    <w:bookmarkStart w:id="79" w:name="ref-hernan2022causal"/>
    <w:p>
      <w:pPr>
        <w:pStyle w:val="Bibliography"/>
      </w:pPr>
      <w:r>
        <w:rPr>
          <w:b/>
          <w:bCs/>
        </w:rPr>
        <w:t xml:space="preserve">29</w:t>
      </w:r>
      <w:r>
        <w:t xml:space="preserve">. Hernán MA: Causal analyses of existing databases: No power calculations required. Journal of clinical epidemiology 144:203–205, 2022</w:t>
      </w:r>
    </w:p>
    <w:bookmarkEnd w:id="79"/>
    <w:bookmarkStart w:id="80" w:name="ref-schoenfeld1981asymptotic"/>
    <w:p>
      <w:pPr>
        <w:pStyle w:val="Bibliography"/>
      </w:pPr>
      <w:r>
        <w:rPr>
          <w:b/>
          <w:bCs/>
        </w:rPr>
        <w:t xml:space="preserve">30</w:t>
      </w:r>
      <w:r>
        <w:t xml:space="preserve">. Schoenfeld D: The asymptotic properties of nonparametric tests for comparing survival distributions. Biometrika 68:316–319, 1981</w:t>
      </w:r>
    </w:p>
    <w:bookmarkEnd w:id="80"/>
    <w:bookmarkStart w:id="81" w:name="ref-franklin2020nonrandomized"/>
    <w:p>
      <w:pPr>
        <w:pStyle w:val="Bibliography"/>
      </w:pPr>
      <w:r>
        <w:rPr>
          <w:b/>
          <w:bCs/>
        </w:rPr>
        <w:t xml:space="preserve">31</w:t>
      </w:r>
      <w:r>
        <w:t xml:space="preserve">. Franklin JM, Pawar A, Martin D, et al: Nonrandomized real-world evidence to support regulatory decision making: Process for a randomized trial replication project. Clinical Pharmacology &amp; Therapeutics 107:817–826, 2020</w:t>
      </w:r>
    </w:p>
    <w:bookmarkEnd w:id="81"/>
    <w:bookmarkStart w:id="82" w:name="ref-schneeweiss2019graphical"/>
    <w:p>
      <w:pPr>
        <w:pStyle w:val="Bibliography"/>
      </w:pPr>
      <w:r>
        <w:rPr>
          <w:b/>
          <w:bCs/>
        </w:rPr>
        <w:t xml:space="preserve">32</w:t>
      </w:r>
      <w:r>
        <w:t xml:space="preserve">. Schneeweiss S, Rassen JA, Brown JS, et al: Graphical depiction of longitudinal study designs in health care databases. Annals of internal medicine 170:398–406, 2019</w:t>
      </w:r>
    </w:p>
    <w:bookmarkEnd w:id="82"/>
    <w:bookmarkStart w:id="83" w:name="ref-rubin1976inference"/>
    <w:p>
      <w:pPr>
        <w:pStyle w:val="Bibliography"/>
      </w:pPr>
      <w:r>
        <w:rPr>
          <w:b/>
          <w:bCs/>
        </w:rPr>
        <w:t xml:space="preserve">33</w:t>
      </w:r>
      <w:r>
        <w:t xml:space="preserve">. Rubin DB: Inference and missing data. Biometrika 63:581–592, 1976</w:t>
      </w:r>
    </w:p>
    <w:bookmarkEnd w:id="83"/>
    <w:bookmarkStart w:id="84" w:name="ref-weberpals2024smdi"/>
    <w:p>
      <w:pPr>
        <w:pStyle w:val="Bibliography"/>
      </w:pPr>
      <w:r>
        <w:rPr>
          <w:b/>
          <w:bCs/>
        </w:rPr>
        <w:t xml:space="preserve">34</w:t>
      </w:r>
      <w:r>
        <w:t xml:space="preserve">. Weberpals J, Raman SR, Shaw PA, et al: Smdi: An r package to perform structural missing data investigations on partially observed confounders in real-world evidence studies. JAMIA open 7:ooae008, 2024</w:t>
      </w:r>
    </w:p>
    <w:bookmarkEnd w:id="84"/>
    <w:bookmarkStart w:id="86" w:name="ref-weberpals2024"/>
    <w:p>
      <w:pPr>
        <w:pStyle w:val="Bibliography"/>
      </w:pPr>
      <w:r>
        <w:rPr>
          <w:b/>
          <w:bCs/>
        </w:rPr>
        <w:t xml:space="preserve">35</w:t>
      </w:r>
      <w:r>
        <w:t xml:space="preserve">. Weberpals J, Raman SR, Shaw PA, et al: A principled approach to characterize and analyze partially observed confounder data from electronic health records [Internet]. Clinical Epidemiology 16:329–343, 2024Available from:</w:t>
      </w:r>
      <w:hyperlink r:id="rId85">
        <w:r>
          <w:rPr>
            <w:rStyle w:val="Hyperlink"/>
          </w:rPr>
          <w:t xml:space="preserve">https://www.tandfonline.com/doi/abs/10.2147/CLEP.S436131</w:t>
        </w:r>
        <w:r>
          <w:rPr>
            <w:rStyle w:val="Hyperlink"/>
          </w:rPr>
          <w:t xml:space="preserve"> </w:t>
        </w:r>
      </w:hyperlink>
    </w:p>
    <w:bookmarkEnd w:id="86"/>
    <w:bookmarkStart w:id="87" w:name="ref-moreno2018canonical"/>
    <w:p>
      <w:pPr>
        <w:pStyle w:val="Bibliography"/>
      </w:pPr>
      <w:r>
        <w:rPr>
          <w:b/>
          <w:bCs/>
        </w:rPr>
        <w:t xml:space="preserve">36</w:t>
      </w:r>
      <w:r>
        <w:t xml:space="preserve">. Moreno-Betancur M, Lee KJ, Leacy FP, et al: Canonical causal diagrams to guide the treatment of missing data in epidemiologic studies. American journal of epidemiology 187:2705–2715, 2018</w:t>
      </w:r>
    </w:p>
    <w:bookmarkEnd w:id="87"/>
    <w:bookmarkStart w:id="88" w:name="ref-tompsett2018use"/>
    <w:p>
      <w:pPr>
        <w:pStyle w:val="Bibliography"/>
      </w:pPr>
      <w:r>
        <w:rPr>
          <w:b/>
          <w:bCs/>
        </w:rPr>
        <w:t xml:space="preserve">37</w:t>
      </w:r>
      <w:r>
        <w:t xml:space="preserve">. Tompsett DM, Leacy F, Moreno-Betancur M, et al: On the use of the not-at-random fully conditional specification (NARFCS) procedure in practice. Statistics in medicine 37:2338–2353, 2018</w:t>
      </w:r>
    </w:p>
    <w:bookmarkEnd w:id="88"/>
    <w:bookmarkStart w:id="90" w:name="ref-weberpals2024hdmi"/>
    <w:p>
      <w:pPr>
        <w:pStyle w:val="Bibliography"/>
      </w:pPr>
      <w:r>
        <w:rPr>
          <w:b/>
          <w:bCs/>
        </w:rPr>
        <w:t xml:space="preserve">38</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9">
        <w:r>
          <w:rPr>
            <w:rStyle w:val="Hyperlink"/>
          </w:rPr>
          <w:t xml:space="preserve">https://arxiv.org/abs/2405.10925</w:t>
        </w:r>
      </w:hyperlink>
    </w:p>
    <w:bookmarkEnd w:id="90"/>
    <w:bookmarkStart w:id="92" w:name="ref-Shaw2024"/>
    <w:p>
      <w:pPr>
        <w:pStyle w:val="Bibliography"/>
      </w:pPr>
      <w:r>
        <w:rPr>
          <w:b/>
          <w:bCs/>
        </w:rPr>
        <w:t xml:space="preserve">39</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91">
        <w:r>
          <w:rPr>
            <w:rStyle w:val="Hyperlink"/>
          </w:rPr>
          <w:t xml:space="preserve">https://github.com/PamelaShaw/Missing-Confounders-Methods</w:t>
        </w:r>
      </w:hyperlink>
    </w:p>
    <w:bookmarkEnd w:id="92"/>
    <w:bookmarkStart w:id="93" w:name="ref-cox1972regression"/>
    <w:p>
      <w:pPr>
        <w:pStyle w:val="Bibliography"/>
      </w:pPr>
      <w:r>
        <w:rPr>
          <w:b/>
          <w:bCs/>
        </w:rPr>
        <w:t xml:space="preserve">40</w:t>
      </w:r>
      <w:r>
        <w:t xml:space="preserve">. Cox DR: Regression models and life-tables. Journal of the royal statistical society. Series B (Methodological) 34:187–220, 1972</w:t>
      </w:r>
    </w:p>
    <w:bookmarkEnd w:id="93"/>
    <w:bookmarkStart w:id="94"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4"/>
    <w:bookmarkStart w:id="95"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5"/>
    <w:bookmarkStart w:id="96"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6"/>
    <w:bookmarkStart w:id="97"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7"/>
    <w:bookmarkStart w:id="98" w:name="ref-rubin2018multiple"/>
    <w:p>
      <w:pPr>
        <w:pStyle w:val="Bibliography"/>
      </w:pPr>
      <w:r>
        <w:rPr>
          <w:b/>
          <w:bCs/>
        </w:rPr>
        <w:t xml:space="preserve">45</w:t>
      </w:r>
      <w:r>
        <w:t xml:space="preserve">. Rubin DB: Multiple imputation, in Flexible imputation of missing data, second edition. Chapman; Hall/CRC, 2018, pp 29–62</w:t>
      </w:r>
    </w:p>
    <w:bookmarkEnd w:id="98"/>
    <w:bookmarkStart w:id="99"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9"/>
    <w:bookmarkStart w:id="100"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0"/>
    <w:bookmarkStart w:id="101"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1"/>
    <w:bookmarkStart w:id="102"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2"/>
    <w:bookmarkStart w:id="104"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3">
        <w:r>
          <w:rPr>
            <w:rStyle w:val="Hyperlink"/>
          </w:rPr>
          <w:t xml:space="preserve">http://dx.doi.org/10.1007/s10198-008-0129-y</w:t>
        </w:r>
      </w:hyperlink>
    </w:p>
    <w:bookmarkEnd w:id="104"/>
    <w:bookmarkStart w:id="105"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5"/>
    <w:bookmarkStart w:id="106" w:name="ref-anesrake"/>
    <w:p>
      <w:pPr>
        <w:pStyle w:val="Bibliography"/>
      </w:pPr>
      <w:r>
        <w:rPr>
          <w:b/>
          <w:bCs/>
        </w:rPr>
        <w:t xml:space="preserve">52</w:t>
      </w:r>
      <w:r>
        <w:t xml:space="preserve">. Pasek J: Anesrake: ANES raking implementation, 2018</w:t>
      </w:r>
    </w:p>
    <w:bookmarkEnd w:id="106"/>
    <w:bookmarkStart w:id="108" w:name="ref-MatchThem"/>
    <w:p>
      <w:pPr>
        <w:pStyle w:val="Bibliography"/>
      </w:pPr>
      <w:r>
        <w:rPr>
          <w:b/>
          <w:bCs/>
        </w:rPr>
        <w:t xml:space="preserve">53</w:t>
      </w:r>
      <w:r>
        <w:t xml:space="preserve">. Pishgar F, Greifer N, Leyrat C, et al: MatchThem:: Matching and weighting after multiple imputation [Internet], 2021Available from:</w:t>
      </w:r>
      <w:r>
        <w:t xml:space="preserve"> </w:t>
      </w:r>
      <w:hyperlink r:id="rId107">
        <w:r>
          <w:rPr>
            <w:rStyle w:val="Hyperlink"/>
          </w:rPr>
          <w:t xml:space="preserve">https://journal.r-project.org/archive/2021/RJ-2021-073/</w:t>
        </w:r>
      </w:hyperlink>
    </w:p>
    <w:bookmarkEnd w:id="108"/>
    <w:bookmarkStart w:id="110" w:name="ref-survival"/>
    <w:p>
      <w:pPr>
        <w:pStyle w:val="Bibliography"/>
      </w:pPr>
      <w:r>
        <w:rPr>
          <w:b/>
          <w:bCs/>
        </w:rPr>
        <w:t xml:space="preserve">54</w:t>
      </w:r>
      <w:r>
        <w:t xml:space="preserve">. Therneau TM: A package for survival analysis in r [Internet], 2024Available from:</w:t>
      </w:r>
      <w:r>
        <w:t xml:space="preserve"> </w:t>
      </w:r>
      <w:hyperlink r:id="rId109">
        <w:r>
          <w:rPr>
            <w:rStyle w:val="Hyperlink"/>
          </w:rPr>
          <w:t xml:space="preserve">https://CRAN.R-project.org/package=survival</w:t>
        </w:r>
      </w:hyperlink>
    </w:p>
    <w:bookmarkEnd w:id="110"/>
    <w:bookmarkStart w:id="112" w:name="ref-encore.analytics"/>
    <w:p>
      <w:pPr>
        <w:pStyle w:val="Bibliography"/>
      </w:pPr>
      <w:r>
        <w:rPr>
          <w:b/>
          <w:bCs/>
        </w:rPr>
        <w:t xml:space="preserve">55</w:t>
      </w:r>
      <w:r>
        <w:t xml:space="preserve">. Weberpals J: Encore.analytics: Functions and wrappers to streamline complex analytic workflows in real-world data studies based on the ENCORE trial emulation project [Internet], 2025Available from:</w:t>
      </w:r>
      <w:r>
        <w:t xml:space="preserve"> </w:t>
      </w:r>
      <w:hyperlink r:id="rId111">
        <w:r>
          <w:rPr>
            <w:rStyle w:val="Hyperlink"/>
          </w:rPr>
          <w:t xml:space="preserve">https://github.com/janickweberpals/encore.analytics</w:t>
        </w:r>
      </w:hyperlink>
    </w:p>
    <w:bookmarkEnd w:id="112"/>
    <w:bookmarkStart w:id="114" w:name="ref-gtsummary"/>
    <w:p>
      <w:pPr>
        <w:pStyle w:val="Bibliography"/>
      </w:pPr>
      <w:r>
        <w:rPr>
          <w:b/>
          <w:bCs/>
        </w:rPr>
        <w:t xml:space="preserve">56</w:t>
      </w:r>
      <w:r>
        <w:t xml:space="preserve">. Sjoberg DD, Whiting K, Curry M, et al: Reproducible summary tables with the gtsummary package [Internet]13:570–580, 2021Available from:</w:t>
      </w:r>
      <w:r>
        <w:t xml:space="preserve"> </w:t>
      </w:r>
      <w:hyperlink r:id="rId113">
        <w:r>
          <w:rPr>
            <w:rStyle w:val="Hyperlink"/>
          </w:rPr>
          <w:t xml:space="preserve">https://doi.org/10.32614/RJ-2021-053</w:t>
        </w:r>
      </w:hyperlink>
    </w:p>
    <w:bookmarkEnd w:id="114"/>
    <w:bookmarkStart w:id="116" w:name="ref-ggsurvfit"/>
    <w:p>
      <w:pPr>
        <w:pStyle w:val="Bibliography"/>
      </w:pPr>
      <w:r>
        <w:rPr>
          <w:b/>
          <w:bCs/>
        </w:rPr>
        <w:t xml:space="preserve">57</w:t>
      </w:r>
      <w:r>
        <w:t xml:space="preserve">. Sjoberg DD, Baillie M, Fruechtenicht C, et al: Ggsurvfit: Flexible time-to-event figures [Internet], 2024Available from:</w:t>
      </w:r>
      <w:r>
        <w:t xml:space="preserve"> </w:t>
      </w:r>
      <w:hyperlink r:id="rId115">
        <w:r>
          <w:rPr>
            <w:rStyle w:val="Hyperlink"/>
          </w:rPr>
          <w:t xml:space="preserve">https://github.com/pharmaverse/ggsurvfit</w:t>
        </w:r>
      </w:hyperlink>
    </w:p>
    <w:bookmarkEnd w:id="116"/>
    <w:bookmarkStart w:id="117" w:name="ref-gaber2024mystifying"/>
    <w:p>
      <w:pPr>
        <w:pStyle w:val="Bibliography"/>
      </w:pPr>
      <w:r>
        <w:rPr>
          <w:b/>
          <w:bCs/>
        </w:rPr>
        <w:t xml:space="preserve">58</w:t>
      </w:r>
      <w:r>
        <w:t xml:space="preserve">. Gaber CE, Ghazarian AA, Strassle PD, et al: De-mystifying the clone-censor-weight method for causal research using observational data: A primer for cancer researchers. Cancer Medicine 13:e70461, 2024</w:t>
      </w:r>
    </w:p>
    <w:bookmarkEnd w:id="117"/>
    <w:bookmarkEnd w:id="118"/>
    <w:p>
      <w:r>
        <w:br w:type="page"/>
      </w:r>
    </w:p>
    <w:bookmarkEnd w:id="119"/>
    <w:bookmarkStart w:id="132"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3"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1" name="Picture"/>
                  <a:graphic>
                    <a:graphicData uri="http://schemas.openxmlformats.org/drawingml/2006/picture">
                      <pic:pic>
                        <pic:nvPicPr>
                          <pic:cNvPr descr="../tables/Table_1_trial_eligibility.png" id="122" name="Picture"/>
                          <pic:cNvPicPr>
                            <a:picLocks noChangeArrowheads="1" noChangeAspect="1"/>
                          </pic:cNvPicPr>
                        </pic:nvPicPr>
                        <pic:blipFill>
                          <a:blip r:embed="rId120"/>
                          <a:stretch>
                            <a:fillRect/>
                          </a:stretch>
                        </pic:blipFill>
                        <pic:spPr bwMode="auto">
                          <a:xfrm>
                            <a:off x="0" y="0"/>
                            <a:ext cx="5943600" cy="5414333"/>
                          </a:xfrm>
                          <a:prstGeom prst="rect">
                            <a:avLst/>
                          </a:prstGeom>
                          <a:noFill/>
                          <a:ln w="9525">
                            <a:noFill/>
                            <a:headEnd/>
                            <a:tailEnd/>
                          </a:ln>
                        </pic:spPr>
                      </pic:pic>
                    </a:graphicData>
                  </a:graphic>
                </wp:inline>
              </w:drawing>
            </w:r>
          </w:p>
          <w:bookmarkEnd w:id="123"/>
        </w:tc>
      </w:tr>
    </w:tbl>
    <w:p>
      <w:r>
        <w:br w:type="page"/>
      </w:r>
    </w:p>
    <w:tbl>
      <w:tblPr>
        <w:tblStyle w:val="Table"/>
        <w:tblW w:type="pct" w:w="5000"/>
        <w:tblLayout w:type="fixed"/>
        <w:tblLook w:firstRow="0" w:lastRow="0" w:firstColumn="0" w:lastColumn="0" w:noHBand="0" w:noVBand="0" w:val="0000"/>
      </w:tblPr>
      <w:tblGrid>
        <w:gridCol w:w="7920"/>
      </w:tblGrid>
      <w:tr>
        <w:tc>
          <w:tcPr/>
          <w:bookmarkStart w:id="127"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5" name="Picture"/>
                  <a:graphic>
                    <a:graphicData uri="http://schemas.openxmlformats.org/drawingml/2006/picture">
                      <pic:pic>
                        <pic:nvPicPr>
                          <pic:cNvPr descr="../tables/Table_2_trial_selection.png" id="126" name="Picture"/>
                          <pic:cNvPicPr>
                            <a:picLocks noChangeArrowheads="1" noChangeAspect="1"/>
                          </pic:cNvPicPr>
                        </pic:nvPicPr>
                        <pic:blipFill>
                          <a:blip r:embed="rId124"/>
                          <a:stretch>
                            <a:fillRect/>
                          </a:stretch>
                        </pic:blipFill>
                        <pic:spPr bwMode="auto">
                          <a:xfrm>
                            <a:off x="0" y="0"/>
                            <a:ext cx="5943600" cy="6065270"/>
                          </a:xfrm>
                          <a:prstGeom prst="rect">
                            <a:avLst/>
                          </a:prstGeom>
                          <a:noFill/>
                          <a:ln w="9525">
                            <a:noFill/>
                            <a:headEnd/>
                            <a:tailEnd/>
                          </a:ln>
                        </pic:spPr>
                      </pic:pic>
                    </a:graphicData>
                  </a:graphic>
                </wp:inline>
              </w:drawing>
            </w:r>
          </w:p>
          <w:bookmarkEnd w:id="127"/>
        </w:tc>
      </w:tr>
    </w:tbl>
    <w:p>
      <w:r>
        <w:br w:type="page"/>
      </w:r>
    </w:p>
    <w:tbl>
      <w:tblPr>
        <w:tblStyle w:val="Table"/>
        <w:tblW w:type="pct" w:w="5000"/>
        <w:tblLayout w:type="fixed"/>
        <w:tblLook w:firstRow="0" w:lastRow="0" w:firstColumn="0" w:lastColumn="0" w:noHBand="0" w:noVBand="0" w:val="0000"/>
      </w:tblPr>
      <w:tblGrid>
        <w:gridCol w:w="7920"/>
      </w:tblGrid>
      <w:tr>
        <w:tc>
          <w:tcPr/>
          <w:bookmarkStart w:id="131"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9" name="Picture"/>
                  <a:graphic>
                    <a:graphicData uri="http://schemas.openxmlformats.org/drawingml/2006/picture">
                      <pic:pic>
                        <pic:nvPicPr>
                          <pic:cNvPr descr="../tables/Table_3_agreement_metrics.png" id="130" name="Picture"/>
                          <pic:cNvPicPr>
                            <a:picLocks noChangeArrowheads="1" noChangeAspect="1"/>
                          </pic:cNvPicPr>
                        </pic:nvPicPr>
                        <pic:blipFill>
                          <a:blip r:embed="rId128"/>
                          <a:stretch>
                            <a:fillRect/>
                          </a:stretch>
                        </pic:blipFill>
                        <pic:spPr bwMode="auto">
                          <a:xfrm>
                            <a:off x="0" y="0"/>
                            <a:ext cx="5943600" cy="1659654"/>
                          </a:xfrm>
                          <a:prstGeom prst="rect">
                            <a:avLst/>
                          </a:prstGeom>
                          <a:noFill/>
                          <a:ln w="9525">
                            <a:noFill/>
                            <a:headEnd/>
                            <a:tailEnd/>
                          </a:ln>
                        </pic:spPr>
                      </pic:pic>
                    </a:graphicData>
                  </a:graphic>
                </wp:inline>
              </w:drawing>
            </w:r>
          </w:p>
          <w:bookmarkEnd w:id="131"/>
        </w:tc>
      </w:tr>
    </w:tbl>
    <w:p>
      <w:r>
        <w:br w:type="page"/>
      </w:r>
    </w:p>
    <w:bookmarkEnd w:id="1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6"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4" name="Picture"/>
                  <a:graphic>
                    <a:graphicData uri="http://schemas.openxmlformats.org/drawingml/2006/picture">
                      <pic:pic>
                        <pic:nvPicPr>
                          <pic:cNvPr descr="../figures/process.png" id="135" name="Picture"/>
                          <pic:cNvPicPr>
                            <a:picLocks noChangeArrowheads="1" noChangeAspect="1"/>
                          </pic:cNvPicPr>
                        </pic:nvPicPr>
                        <pic:blipFill>
                          <a:blip r:embed="rId133"/>
                          <a:stretch>
                            <a:fillRect/>
                          </a:stretch>
                        </pic:blipFill>
                        <pic:spPr bwMode="auto">
                          <a:xfrm>
                            <a:off x="0" y="0"/>
                            <a:ext cx="5943600" cy="3343275"/>
                          </a:xfrm>
                          <a:prstGeom prst="rect">
                            <a:avLst/>
                          </a:prstGeom>
                          <a:noFill/>
                          <a:ln w="9525">
                            <a:noFill/>
                            <a:headEnd/>
                            <a:tailEnd/>
                          </a:ln>
                        </pic:spPr>
                      </pic:pic>
                    </a:graphicData>
                  </a:graphic>
                </wp:inline>
              </w:drawing>
            </w:r>
          </w:p>
          <w:bookmarkEnd w:id="136"/>
        </w:tc>
      </w:tr>
    </w:tbl>
    <w:p>
      <w:pPr>
        <w:pStyle w:val="BodyText"/>
      </w:pPr>
      <w:hyperlink r:id="rId137">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1"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9" name="Picture"/>
                  <a:graphic>
                    <a:graphicData uri="http://schemas.openxmlformats.org/drawingml/2006/picture">
                      <pic:pic>
                        <pic:nvPicPr>
                          <pic:cNvPr descr="Figure_2_utlization.png" id="140" name="Picture"/>
                          <pic:cNvPicPr>
                            <a:picLocks noChangeArrowheads="1" noChangeAspect="1"/>
                          </pic:cNvPicPr>
                        </pic:nvPicPr>
                        <pic:blipFill>
                          <a:blip r:embed="rId138"/>
                          <a:stretch>
                            <a:fillRect/>
                          </a:stretch>
                        </pic:blipFill>
                        <pic:spPr bwMode="auto">
                          <a:xfrm>
                            <a:off x="0" y="0"/>
                            <a:ext cx="4577722" cy="4576577"/>
                          </a:xfrm>
                          <a:prstGeom prst="rect">
                            <a:avLst/>
                          </a:prstGeom>
                          <a:noFill/>
                          <a:ln w="9525">
                            <a:noFill/>
                            <a:headEnd/>
                            <a:tailEnd/>
                          </a:ln>
                        </pic:spPr>
                      </pic:pic>
                    </a:graphicData>
                  </a:graphic>
                </wp:inline>
              </w:drawing>
            </w:r>
          </w:p>
          <w:bookmarkEnd w:id="141"/>
        </w:tc>
      </w:tr>
    </w:tbl>
    <w:p>
      <w:pPr>
        <w:pStyle w:val="BodyText"/>
      </w:pPr>
      <w:hyperlink r:id="rId142">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6"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4" name="Picture"/>
                  <a:graphic>
                    <a:graphicData uri="http://schemas.openxmlformats.org/drawingml/2006/picture">
                      <pic:pic>
                        <pic:nvPicPr>
                          <pic:cNvPr descr="Figure_3_balance.png" id="145" name="Picture"/>
                          <pic:cNvPicPr>
                            <a:picLocks noChangeArrowheads="1" noChangeAspect="1"/>
                          </pic:cNvPicPr>
                        </pic:nvPicPr>
                        <pic:blipFill>
                          <a:blip r:embed="rId143"/>
                          <a:stretch>
                            <a:fillRect/>
                          </a:stretch>
                        </pic:blipFill>
                        <pic:spPr bwMode="auto">
                          <a:xfrm>
                            <a:off x="0" y="0"/>
                            <a:ext cx="5943600" cy="3169919"/>
                          </a:xfrm>
                          <a:prstGeom prst="rect">
                            <a:avLst/>
                          </a:prstGeom>
                          <a:noFill/>
                          <a:ln w="9525">
                            <a:noFill/>
                            <a:headEnd/>
                            <a:tailEnd/>
                          </a:ln>
                        </pic:spPr>
                      </pic:pic>
                    </a:graphicData>
                  </a:graphic>
                </wp:inline>
              </w:drawing>
            </w:r>
          </w:p>
          <w:bookmarkEnd w:id="146"/>
        </w:tc>
      </w:tr>
    </w:tbl>
    <w:p>
      <w:pPr>
        <w:pStyle w:val="BodyText"/>
      </w:pPr>
      <w:hyperlink r:id="rId147">
        <w:r>
          <w:rPr>
            <w:rStyle w:val="Hyperlink"/>
          </w:rPr>
          <w:t xml:space="preserve">View figure in higher resolution here</w:t>
        </w:r>
      </w:hyperlink>
    </w:p>
    <w:bookmarkEnd w:id="148"/>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hyperlink" Id="rId85"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5" Target="http://dx.doi.org/10.1016/j.annepidem.2022.07.007" TargetMode="External" /><Relationship Type="http://schemas.openxmlformats.org/officeDocument/2006/relationships/hyperlink" Id="rId109"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64" Target="https://ascopubs.org/doi/abs/10.1200/JCO.2023.41.16_suppl.e21194" TargetMode="External" /><Relationship Type="http://schemas.openxmlformats.org/officeDocument/2006/relationships/hyperlink" Id="rId51" Target="https://doi.org/10.1001/jama.2023.4221" TargetMode="External" /><Relationship Type="http://schemas.openxmlformats.org/officeDocument/2006/relationships/hyperlink" Id="rId73" Target="https://doi.org/10.1016/j.jclinepi.2016.04.014" TargetMode="External" /><Relationship Type="http://schemas.openxmlformats.org/officeDocument/2006/relationships/hyperlink" Id="rId69" Target="https://doi.org/10.1016/j.jval.2022.09.001" TargetMode="External" /><Relationship Type="http://schemas.openxmlformats.org/officeDocument/2006/relationships/hyperlink" Id="rId53" Target="https://doi.org/10.1136/bmjmed-2023-000709" TargetMode="External" /><Relationship Type="http://schemas.openxmlformats.org/officeDocument/2006/relationships/hyperlink" Id="rId61" Target="https://doi.org/10.1158/1078-0432.CCR-22-0471" TargetMode="External" /><Relationship Type="http://schemas.openxmlformats.org/officeDocument/2006/relationships/hyperlink" Id="rId113" Target="https://doi.org/10.32614/RJ-2021-05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7" Target="https://github.com/janickweberpals/encore-process-manuscript/blob/main/manuscript/Figure_1_process.png" TargetMode="External" /><Relationship Type="http://schemas.openxmlformats.org/officeDocument/2006/relationships/hyperlink" Id="rId142" Target="https://github.com/janickweberpals/encore-process-manuscript/blob/main/manuscript/Figure_2_utlization.png" TargetMode="External" /><Relationship Type="http://schemas.openxmlformats.org/officeDocument/2006/relationships/hyperlink" Id="rId147" Target="https://github.com/janickweberpals/encore-process-manuscript/blob/main/manuscript/Figure_3_balance.png" TargetMode="External" /><Relationship Type="http://schemas.openxmlformats.org/officeDocument/2006/relationships/hyperlink" Id="rId111"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5"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7" Target="https://journal.r-project.org/archive/2021/RJ-2021-073/" TargetMode="External" /><Relationship Type="http://schemas.openxmlformats.org/officeDocument/2006/relationships/hyperlink" Id="rId55"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5"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5" Target="http://dx.doi.org/10.1016/j.annepidem.2022.07.007" TargetMode="External" /><Relationship Type="http://schemas.openxmlformats.org/officeDocument/2006/relationships/hyperlink" Id="rId109"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64" Target="https://ascopubs.org/doi/abs/10.1200/JCO.2023.41.16_suppl.e21194" TargetMode="External" /><Relationship Type="http://schemas.openxmlformats.org/officeDocument/2006/relationships/hyperlink" Id="rId51" Target="https://doi.org/10.1001/jama.2023.4221" TargetMode="External" /><Relationship Type="http://schemas.openxmlformats.org/officeDocument/2006/relationships/hyperlink" Id="rId73" Target="https://doi.org/10.1016/j.jclinepi.2016.04.014" TargetMode="External" /><Relationship Type="http://schemas.openxmlformats.org/officeDocument/2006/relationships/hyperlink" Id="rId69" Target="https://doi.org/10.1016/j.jval.2022.09.001" TargetMode="External" /><Relationship Type="http://schemas.openxmlformats.org/officeDocument/2006/relationships/hyperlink" Id="rId53" Target="https://doi.org/10.1136/bmjmed-2023-000709" TargetMode="External" /><Relationship Type="http://schemas.openxmlformats.org/officeDocument/2006/relationships/hyperlink" Id="rId61" Target="https://doi.org/10.1158/1078-0432.CCR-22-0471" TargetMode="External" /><Relationship Type="http://schemas.openxmlformats.org/officeDocument/2006/relationships/hyperlink" Id="rId113" Target="https://doi.org/10.32614/RJ-2021-05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7" Target="https://github.com/janickweberpals/encore-process-manuscript/blob/main/manuscript/Figure_1_process.png" TargetMode="External" /><Relationship Type="http://schemas.openxmlformats.org/officeDocument/2006/relationships/hyperlink" Id="rId142" Target="https://github.com/janickweberpals/encore-process-manuscript/blob/main/manuscript/Figure_2_utlization.png" TargetMode="External" /><Relationship Type="http://schemas.openxmlformats.org/officeDocument/2006/relationships/hyperlink" Id="rId147" Target="https://github.com/janickweberpals/encore-process-manuscript/blob/main/manuscript/Figure_3_balance.png" TargetMode="External" /><Relationship Type="http://schemas.openxmlformats.org/officeDocument/2006/relationships/hyperlink" Id="rId111"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5"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7" Target="https://journal.r-project.org/archive/2021/RJ-2021-073/" TargetMode="External" /><Relationship Type="http://schemas.openxmlformats.org/officeDocument/2006/relationships/hyperlink" Id="rId55"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2025-05-28T16:51:09Z</dcterms:created>
  <dcterms:modified xsi:type="dcterms:W3CDTF">2025-05-28T16:51:09Z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